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3E171" w14:textId="77777777" w:rsidR="001A3B44" w:rsidRPr="00F55BBA" w:rsidRDefault="001A3B44" w:rsidP="001A3B44">
      <w:pPr>
        <w:spacing w:line="480" w:lineRule="auto"/>
        <w:rPr>
          <w:rFonts w:ascii="Arial" w:hAnsi="Arial" w:cs="Arial"/>
          <w:b/>
          <w:bCs/>
          <w:color w:val="000000"/>
          <w:sz w:val="32"/>
          <w:szCs w:val="32"/>
        </w:rPr>
      </w:pPr>
      <w:r w:rsidRPr="00F55BBA">
        <w:rPr>
          <w:rFonts w:ascii="Arial" w:hAnsi="Arial" w:cs="Arial"/>
          <w:b/>
          <w:bCs/>
          <w:color w:val="000000"/>
          <w:sz w:val="32"/>
          <w:szCs w:val="32"/>
        </w:rPr>
        <w:t>Supplementary Materials</w:t>
      </w:r>
    </w:p>
    <w:p w14:paraId="0FFC6FA4" w14:textId="77540317" w:rsidR="001A3B44" w:rsidRPr="00F55BBA" w:rsidRDefault="001A3B44" w:rsidP="001A3B44">
      <w:pPr>
        <w:spacing w:line="48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>Supplementary file 1:</w:t>
      </w:r>
      <w:r w:rsidRPr="00F55BBA">
        <w:rPr>
          <w:rFonts w:ascii="Arial" w:hAnsi="Arial" w:cs="Arial"/>
          <w:color w:val="000000"/>
          <w:sz w:val="20"/>
          <w:szCs w:val="20"/>
        </w:rPr>
        <w:t xml:space="preserve">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Figure S1: Flow chart of the analyses in this study</w:t>
      </w:r>
      <w:r w:rsidR="00C328A4" w:rsidRPr="00F55BBA">
        <w:rPr>
          <w:rStyle w:val="tgt"/>
          <w:rFonts w:ascii="Arial" w:hAnsi="Arial" w:cs="Arial"/>
          <w:color w:val="000000"/>
          <w:sz w:val="20"/>
          <w:szCs w:val="20"/>
        </w:rPr>
        <w:t>.</w:t>
      </w:r>
    </w:p>
    <w:p w14:paraId="625393E8" w14:textId="21C40080" w:rsidR="001A3B44" w:rsidRPr="00F55BBA" w:rsidRDefault="001A3B44" w:rsidP="001A3B44">
      <w:pPr>
        <w:spacing w:line="480" w:lineRule="auto"/>
        <w:rPr>
          <w:rStyle w:val="tgt"/>
          <w:rFonts w:ascii="Arial" w:hAnsi="Arial" w:cs="Arial"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file 2: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TableS1: Primers used for qRT-PCR analysis</w:t>
      </w:r>
      <w:r w:rsidR="00C328A4" w:rsidRPr="00F55BBA">
        <w:rPr>
          <w:rStyle w:val="tgt"/>
          <w:rFonts w:ascii="Arial" w:hAnsi="Arial" w:cs="Arial"/>
          <w:color w:val="000000"/>
          <w:sz w:val="20"/>
          <w:szCs w:val="20"/>
        </w:rPr>
        <w:t>.</w:t>
      </w:r>
    </w:p>
    <w:p w14:paraId="3B5E275D" w14:textId="77777777" w:rsidR="001A3B44" w:rsidRPr="00F55BBA" w:rsidRDefault="001A3B44" w:rsidP="001A3B44">
      <w:pPr>
        <w:spacing w:line="480" w:lineRule="auto"/>
        <w:jc w:val="left"/>
        <w:rPr>
          <w:rFonts w:ascii="Arial" w:hAnsi="Arial" w:cs="Arial"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file 3: </w:t>
      </w:r>
      <w:r w:rsidRPr="00F55BBA">
        <w:rPr>
          <w:rFonts w:ascii="Arial" w:hAnsi="Arial" w:cs="Arial"/>
          <w:color w:val="000000"/>
          <w:sz w:val="20"/>
          <w:szCs w:val="20"/>
        </w:rPr>
        <w:t>Full DEGs between control and COPD group in GSE76925.</w:t>
      </w:r>
    </w:p>
    <w:p w14:paraId="2618ECD5" w14:textId="6D078C54" w:rsidR="001A3B44" w:rsidRPr="00F55BBA" w:rsidRDefault="001A3B44" w:rsidP="001A3B44">
      <w:pPr>
        <w:spacing w:line="480" w:lineRule="auto"/>
        <w:jc w:val="left"/>
        <w:rPr>
          <w:rFonts w:ascii="Arial" w:hAnsi="Arial" w:cs="Arial"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file 4: </w:t>
      </w:r>
      <w:r w:rsidRPr="00F55BBA">
        <w:rPr>
          <w:rFonts w:ascii="Arial" w:hAnsi="Arial" w:cs="Arial"/>
          <w:color w:val="000000"/>
          <w:sz w:val="20"/>
          <w:szCs w:val="20"/>
        </w:rPr>
        <w:t>Table S2: Association between CD19 and POU2AF1 and clinical index in COPD group in different microarray datasets</w:t>
      </w:r>
      <w:r w:rsidR="00C328A4" w:rsidRPr="00F55BBA">
        <w:rPr>
          <w:rFonts w:ascii="Arial" w:hAnsi="Arial" w:cs="Arial"/>
          <w:color w:val="000000"/>
          <w:sz w:val="20"/>
          <w:szCs w:val="20"/>
        </w:rPr>
        <w:t>.</w:t>
      </w:r>
    </w:p>
    <w:p w14:paraId="25427D40" w14:textId="77777777" w:rsidR="001A3B44" w:rsidRPr="00F55BBA" w:rsidRDefault="001A3B44" w:rsidP="001A3B44">
      <w:pPr>
        <w:spacing w:line="480" w:lineRule="auto"/>
        <w:jc w:val="left"/>
        <w:rPr>
          <w:rFonts w:ascii="Arial" w:hAnsi="Arial" w:cs="Arial"/>
          <w:b/>
          <w:bCs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file 5: </w:t>
      </w:r>
      <w:r w:rsidRPr="00F55BBA">
        <w:rPr>
          <w:rFonts w:ascii="Arial" w:hAnsi="Arial" w:cs="Arial"/>
          <w:color w:val="000000"/>
          <w:sz w:val="20"/>
          <w:szCs w:val="20"/>
        </w:rPr>
        <w:t>Full DEGs between high- and low- CD19 expression in COPD in GSE76925.</w:t>
      </w:r>
    </w:p>
    <w:p w14:paraId="02CBB9E0" w14:textId="77777777" w:rsidR="001A3B44" w:rsidRPr="00F55BBA" w:rsidRDefault="001A3B44" w:rsidP="001A3B44">
      <w:pPr>
        <w:spacing w:line="480" w:lineRule="auto"/>
        <w:jc w:val="left"/>
        <w:rPr>
          <w:rFonts w:ascii="Arial" w:hAnsi="Arial" w:cs="Arial"/>
          <w:b/>
          <w:bCs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file 6: </w:t>
      </w:r>
      <w:r w:rsidRPr="00F55BBA">
        <w:rPr>
          <w:rFonts w:ascii="Arial" w:hAnsi="Arial" w:cs="Arial"/>
          <w:color w:val="000000"/>
          <w:sz w:val="20"/>
          <w:szCs w:val="20"/>
        </w:rPr>
        <w:t>Full DEGs between high- and low- POU2AF1 expression in COPD in GSE76925.</w:t>
      </w:r>
    </w:p>
    <w:p w14:paraId="298808E1" w14:textId="592D92F7" w:rsidR="002430F7" w:rsidRPr="00F55BBA" w:rsidRDefault="001A3B44" w:rsidP="002430F7">
      <w:pPr>
        <w:spacing w:line="480" w:lineRule="auto"/>
        <w:jc w:val="left"/>
        <w:rPr>
          <w:rStyle w:val="tgt"/>
          <w:rFonts w:ascii="Arial" w:hAnsi="Arial" w:cs="Arial"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>Supplementary file 7: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 xml:space="preserve"> </w:t>
      </w:r>
      <w:r w:rsidR="002430F7" w:rsidRPr="00F55BBA">
        <w:rPr>
          <w:rStyle w:val="tgt"/>
          <w:rFonts w:ascii="Arial" w:hAnsi="Arial" w:cs="Arial"/>
          <w:color w:val="000000"/>
          <w:sz w:val="20"/>
          <w:szCs w:val="20"/>
        </w:rPr>
        <w:t>The GO-BP and KEGG terms in enrichment analyses of the DEGs in high- and low-CD19 or POU2AF1 expression groups in GSE76925</w:t>
      </w:r>
    </w:p>
    <w:p w14:paraId="5DC7E874" w14:textId="36BCC872" w:rsidR="002430F7" w:rsidRPr="00F55BBA" w:rsidRDefault="002430F7" w:rsidP="002430F7">
      <w:pPr>
        <w:spacing w:line="480" w:lineRule="auto"/>
        <w:jc w:val="left"/>
        <w:rPr>
          <w:rStyle w:val="tgt"/>
          <w:rFonts w:ascii="Arial" w:hAnsi="Arial" w:cs="Arial"/>
          <w:color w:val="000000"/>
          <w:sz w:val="20"/>
          <w:szCs w:val="20"/>
        </w:rPr>
      </w:pPr>
      <w:r w:rsidRPr="00F55BBA">
        <w:rPr>
          <w:rStyle w:val="tgt"/>
          <w:rFonts w:ascii="Arial" w:hAnsi="Arial" w:cs="Arial" w:hint="eastAsia"/>
          <w:b/>
          <w:bCs/>
          <w:color w:val="000000"/>
          <w:sz w:val="20"/>
          <w:szCs w:val="20"/>
        </w:rPr>
        <w:t>N</w:t>
      </w:r>
      <w:r w:rsidRPr="00F55BBA">
        <w:rPr>
          <w:rStyle w:val="tgt"/>
          <w:rFonts w:ascii="Arial" w:hAnsi="Arial" w:cs="Arial"/>
          <w:b/>
          <w:bCs/>
          <w:color w:val="000000"/>
          <w:sz w:val="20"/>
          <w:szCs w:val="20"/>
        </w:rPr>
        <w:t>otes:</w:t>
      </w:r>
      <w:r w:rsidRPr="00F55BBA">
        <w:rPr>
          <w:color w:val="000000"/>
        </w:rPr>
        <w:t xml:space="preserve">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Sheet1: The GO-BP enrichment results of DEGs between DEGs in high- and low-CD19 expression groups in GSE76925; Sheet2: The KEGG pathway enrichment results of DEGs between DEGs in high- and low-CD19 expression groups in GSE76925; Sheet3: The GO-BP enrichment results of DEGs between DEGs in high- and low-POU2AF1 expression groups in GSE76925; Sheet4: The KEGG pathway enrichment results of DEGs between DEGs in high- and low-POU2AF1 expression groups in GSE76925</w:t>
      </w:r>
    </w:p>
    <w:p w14:paraId="7150D5DC" w14:textId="60EBF241" w:rsidR="001A3B44" w:rsidRPr="00F55BBA" w:rsidRDefault="001A3B44" w:rsidP="002430F7">
      <w:pPr>
        <w:spacing w:line="480" w:lineRule="auto"/>
        <w:jc w:val="left"/>
        <w:rPr>
          <w:rStyle w:val="tgt"/>
          <w:rFonts w:ascii="Arial" w:hAnsi="Arial" w:cs="Arial"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>Supplementary file 8:</w:t>
      </w:r>
      <w:r w:rsidRPr="00F55BBA">
        <w:rPr>
          <w:color w:val="000000"/>
        </w:rPr>
        <w:t xml:space="preserve"> </w:t>
      </w:r>
      <w:r w:rsidRPr="00F55BBA">
        <w:rPr>
          <w:rFonts w:ascii="Arial" w:hAnsi="Arial" w:cs="Arial"/>
          <w:color w:val="000000"/>
          <w:sz w:val="20"/>
          <w:szCs w:val="20"/>
        </w:rPr>
        <w:t xml:space="preserve">Table S3: Association between CD19 and POU2AF1 and immune cells in COPD group in different microarray datasets. </w:t>
      </w:r>
    </w:p>
    <w:p w14:paraId="4529542E" w14:textId="77777777" w:rsidR="001A3B44" w:rsidRPr="00F55BBA" w:rsidRDefault="001A3B44" w:rsidP="001A3B44">
      <w:pPr>
        <w:spacing w:line="480" w:lineRule="auto"/>
        <w:jc w:val="left"/>
        <w:rPr>
          <w:rStyle w:val="tgt"/>
          <w:rFonts w:ascii="Arial" w:hAnsi="Arial" w:cs="Arial"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>Supplementary file 9:</w:t>
      </w:r>
      <w:r w:rsidRPr="00F55BBA">
        <w:rPr>
          <w:color w:val="000000"/>
        </w:rPr>
        <w:t xml:space="preserve">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Figure S2:</w:t>
      </w:r>
      <w:r w:rsidRPr="00F55BBA">
        <w:rPr>
          <w:color w:val="000000"/>
        </w:rPr>
        <w:t xml:space="preserve">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Correlation and expression of hub genes</w:t>
      </w:r>
      <w:r w:rsidRPr="00F55BBA" w:rsidDel="003B709B">
        <w:rPr>
          <w:rStyle w:val="tgt"/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 xml:space="preserve">in GSE76925. </w:t>
      </w:r>
    </w:p>
    <w:p w14:paraId="5D8F3AE8" w14:textId="7A995550" w:rsidR="001A3B44" w:rsidRPr="00F55BBA" w:rsidRDefault="001A3B44" w:rsidP="001A3B44">
      <w:pPr>
        <w:spacing w:line="480" w:lineRule="auto"/>
        <w:jc w:val="left"/>
        <w:rPr>
          <w:rFonts w:ascii="Arial" w:hAnsi="Arial" w:cs="Arial"/>
          <w:color w:val="000000"/>
          <w:sz w:val="20"/>
          <w:szCs w:val="20"/>
        </w:rPr>
      </w:pPr>
      <w:r w:rsidRPr="00F55BBA">
        <w:rPr>
          <w:rStyle w:val="tgt"/>
          <w:rFonts w:ascii="Arial" w:hAnsi="Arial" w:cs="Arial" w:hint="eastAsia"/>
          <w:color w:val="000000"/>
          <w:sz w:val="20"/>
          <w:szCs w:val="20"/>
        </w:rPr>
        <w:t>(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A)</w:t>
      </w:r>
      <w:r w:rsidRPr="00F55BBA">
        <w:rPr>
          <w:color w:val="000000"/>
        </w:rPr>
        <w:t xml:space="preserve">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Correlation of hub genes expression in COPD in GSE76925;</w:t>
      </w:r>
      <w:r w:rsidRPr="00F55BBA">
        <w:rPr>
          <w:rFonts w:ascii="Arial" w:hAnsi="Arial" w:cs="Arial"/>
          <w:color w:val="000000"/>
          <w:sz w:val="20"/>
          <w:szCs w:val="20"/>
        </w:rPr>
        <w:t xml:space="preserve"> Blue represented a negative </w:t>
      </w:r>
      <w:r w:rsidRPr="00F55BBA">
        <w:rPr>
          <w:rFonts w:ascii="Arial" w:hAnsi="Arial" w:cs="Arial"/>
          <w:color w:val="000000"/>
          <w:sz w:val="20"/>
          <w:szCs w:val="20"/>
        </w:rPr>
        <w:lastRenderedPageBreak/>
        <w:t>correlation; red represented a positive correlation. **</w:t>
      </w:r>
      <w:r w:rsidRPr="00F55BBA">
        <w:rPr>
          <w:rFonts w:ascii="Arial" w:hAnsi="Arial" w:cs="Arial"/>
          <w:i/>
          <w:iCs/>
          <w:color w:val="000000"/>
          <w:sz w:val="20"/>
          <w:szCs w:val="20"/>
        </w:rPr>
        <w:t>P</w:t>
      </w:r>
      <w:r w:rsidRPr="00F55BBA">
        <w:rPr>
          <w:rFonts w:ascii="Arial" w:hAnsi="Arial" w:cs="Arial"/>
          <w:color w:val="000000"/>
          <w:sz w:val="20"/>
          <w:szCs w:val="20"/>
        </w:rPr>
        <w:t>&lt;0.01, *</w:t>
      </w:r>
      <w:r w:rsidRPr="00F55BBA">
        <w:rPr>
          <w:rFonts w:ascii="Arial" w:hAnsi="Arial" w:cs="Arial"/>
          <w:i/>
          <w:iCs/>
          <w:color w:val="000000"/>
          <w:sz w:val="20"/>
          <w:szCs w:val="20"/>
        </w:rPr>
        <w:t>P</w:t>
      </w:r>
      <w:r w:rsidRPr="00F55BBA">
        <w:rPr>
          <w:rFonts w:ascii="Arial" w:hAnsi="Arial" w:cs="Arial"/>
          <w:color w:val="000000"/>
          <w:sz w:val="20"/>
          <w:szCs w:val="20"/>
        </w:rPr>
        <w:t>&lt;0.</w:t>
      </w:r>
      <w:r w:rsidR="00DE2958" w:rsidRPr="00F55BBA">
        <w:rPr>
          <w:rFonts w:ascii="Arial" w:hAnsi="Arial" w:cs="Arial"/>
          <w:color w:val="000000"/>
          <w:sz w:val="20"/>
          <w:szCs w:val="20"/>
        </w:rPr>
        <w:t>05.</w:t>
      </w:r>
      <w:r w:rsidR="00DE2958" w:rsidRPr="00F55BBA">
        <w:rPr>
          <w:rStyle w:val="tgt"/>
          <w:rFonts w:ascii="Arial" w:hAnsi="Arial" w:cs="Arial"/>
          <w:color w:val="000000"/>
          <w:sz w:val="20"/>
          <w:szCs w:val="20"/>
        </w:rPr>
        <w:t>(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B)</w:t>
      </w:r>
      <w:r w:rsidRPr="00F55BBA">
        <w:rPr>
          <w:color w:val="000000"/>
        </w:rPr>
        <w:t xml:space="preserve">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Heatmap of hub gene based on the unsupervised clustering of hub genes</w:t>
      </w:r>
      <w:r w:rsidRPr="00F55BBA">
        <w:rPr>
          <w:rStyle w:val="tgt"/>
          <w:rFonts w:ascii="Arial" w:hAnsi="Arial" w:cs="Arial" w:hint="eastAsia"/>
          <w:color w:val="000000"/>
          <w:sz w:val="20"/>
          <w:szCs w:val="20"/>
        </w:rPr>
        <w:t xml:space="preserve">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in GSE76925.</w:t>
      </w:r>
    </w:p>
    <w:p w14:paraId="5AD3BA16" w14:textId="77777777" w:rsidR="001A3B44" w:rsidRPr="00F55BBA" w:rsidRDefault="001A3B44" w:rsidP="001A3B44">
      <w:pPr>
        <w:spacing w:line="480" w:lineRule="auto"/>
        <w:jc w:val="left"/>
        <w:rPr>
          <w:rFonts w:ascii="Arial" w:hAnsi="Arial" w:cs="Arial"/>
          <w:b/>
          <w:bCs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>Supplementary file 10:</w:t>
      </w:r>
      <w:r w:rsidRPr="00F55BBA">
        <w:rPr>
          <w:rFonts w:ascii="Arial" w:hAnsi="Arial" w:cs="Arial"/>
          <w:color w:val="000000"/>
          <w:sz w:val="20"/>
          <w:szCs w:val="20"/>
        </w:rPr>
        <w:t xml:space="preserve"> Table S4: Demographic characteristics of subjects in different clusters in GSE76925.</w:t>
      </w:r>
    </w:p>
    <w:p w14:paraId="0796B5BD" w14:textId="77777777" w:rsidR="001A3B44" w:rsidRPr="00F55BBA" w:rsidRDefault="001A3B44" w:rsidP="001A3B44">
      <w:pPr>
        <w:spacing w:line="480" w:lineRule="auto"/>
        <w:jc w:val="left"/>
        <w:rPr>
          <w:rStyle w:val="tgt"/>
          <w:rFonts w:ascii="Arial" w:hAnsi="Arial" w:cs="Arial"/>
          <w:color w:val="000000"/>
          <w:sz w:val="20"/>
          <w:szCs w:val="20"/>
        </w:rPr>
      </w:pPr>
      <w:r w:rsidRPr="00F55BBA">
        <w:rPr>
          <w:rFonts w:ascii="Arial" w:hAnsi="Arial" w:cs="Arial"/>
          <w:b/>
          <w:bCs/>
          <w:color w:val="000000"/>
          <w:sz w:val="20"/>
          <w:szCs w:val="20"/>
        </w:rPr>
        <w:t>Supplementary file 11:</w:t>
      </w:r>
      <w:r w:rsidRPr="00F55BBA">
        <w:rPr>
          <w:color w:val="000000"/>
        </w:rPr>
        <w:t xml:space="preserve">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Figure S3:</w:t>
      </w:r>
      <w:r w:rsidRPr="00F55BBA">
        <w:rPr>
          <w:color w:val="000000"/>
        </w:rPr>
        <w:t xml:space="preserve"> </w:t>
      </w:r>
      <w:r w:rsidRPr="00F55BBA">
        <w:rPr>
          <w:rStyle w:val="tgt"/>
          <w:rFonts w:ascii="Arial" w:hAnsi="Arial" w:cs="Arial"/>
          <w:color w:val="000000"/>
          <w:sz w:val="20"/>
          <w:szCs w:val="20"/>
        </w:rPr>
        <w:t>The infiltration of B cell subsets in the different microarray.</w:t>
      </w:r>
    </w:p>
    <w:p w14:paraId="3BC6BBAC" w14:textId="62D9906D" w:rsidR="001A3B44" w:rsidRPr="00F55BBA" w:rsidRDefault="001A3B44" w:rsidP="001A3B44">
      <w:pPr>
        <w:spacing w:line="480" w:lineRule="auto"/>
        <w:rPr>
          <w:rFonts w:ascii="Arial" w:hAnsi="Arial" w:cs="Arial"/>
          <w:color w:val="000000"/>
        </w:rPr>
      </w:pPr>
      <w:r w:rsidRPr="00F55BBA">
        <w:rPr>
          <w:rFonts w:ascii="Arial" w:hAnsi="Arial" w:cs="Arial"/>
          <w:color w:val="000000"/>
          <w:sz w:val="20"/>
          <w:szCs w:val="20"/>
        </w:rPr>
        <w:t xml:space="preserve">(A) The infiltration of B cell subsets in GSE76925. (B) The infiltration of B cell subsets in GSE47460. (C) The infiltration of B cell subsets in GSE76705. </w:t>
      </w:r>
      <w:r w:rsidR="008207F8" w:rsidRPr="00F55BBA">
        <w:rPr>
          <w:rFonts w:ascii="Arial" w:hAnsi="Arial" w:cs="Arial"/>
          <w:color w:val="000000"/>
          <w:sz w:val="20"/>
          <w:szCs w:val="20"/>
        </w:rPr>
        <w:t>****</w:t>
      </w:r>
      <w:r w:rsidR="008207F8" w:rsidRPr="00F55BBA">
        <w:rPr>
          <w:rFonts w:ascii="Arial" w:hAnsi="Arial" w:cs="Arial"/>
          <w:i/>
          <w:iCs/>
          <w:color w:val="000000"/>
          <w:sz w:val="20"/>
          <w:szCs w:val="20"/>
        </w:rPr>
        <w:t>P</w:t>
      </w:r>
      <w:r w:rsidR="008207F8" w:rsidRPr="00F55BBA">
        <w:rPr>
          <w:rFonts w:ascii="Arial" w:hAnsi="Arial" w:cs="Arial"/>
          <w:color w:val="000000"/>
          <w:sz w:val="20"/>
          <w:szCs w:val="20"/>
        </w:rPr>
        <w:t>&lt;</w:t>
      </w:r>
      <w:r w:rsidR="003C62EB" w:rsidRPr="00F55BBA">
        <w:rPr>
          <w:rFonts w:ascii="Arial" w:hAnsi="Arial" w:cs="Arial"/>
          <w:color w:val="000000"/>
          <w:sz w:val="20"/>
          <w:szCs w:val="20"/>
        </w:rPr>
        <w:t>0.0001, *</w:t>
      </w:r>
      <w:r w:rsidR="008207F8" w:rsidRPr="00F55BBA">
        <w:rPr>
          <w:rFonts w:ascii="Arial" w:hAnsi="Arial" w:cs="Arial"/>
          <w:color w:val="000000"/>
          <w:sz w:val="20"/>
          <w:szCs w:val="20"/>
        </w:rPr>
        <w:t>**</w:t>
      </w:r>
      <w:r w:rsidR="008207F8" w:rsidRPr="00F55BBA">
        <w:rPr>
          <w:rFonts w:ascii="Arial" w:hAnsi="Arial" w:cs="Arial"/>
          <w:i/>
          <w:iCs/>
          <w:color w:val="000000"/>
          <w:sz w:val="20"/>
          <w:szCs w:val="20"/>
        </w:rPr>
        <w:t>P</w:t>
      </w:r>
      <w:r w:rsidR="008207F8" w:rsidRPr="00F55BBA">
        <w:rPr>
          <w:rFonts w:ascii="Arial" w:hAnsi="Arial" w:cs="Arial"/>
          <w:color w:val="000000"/>
          <w:sz w:val="20"/>
          <w:szCs w:val="20"/>
        </w:rPr>
        <w:t>&lt;</w:t>
      </w:r>
      <w:r w:rsidR="003C62EB" w:rsidRPr="00F55BBA">
        <w:rPr>
          <w:rFonts w:ascii="Arial" w:hAnsi="Arial" w:cs="Arial"/>
          <w:color w:val="000000"/>
          <w:sz w:val="20"/>
          <w:szCs w:val="20"/>
        </w:rPr>
        <w:t>0.001, *</w:t>
      </w:r>
      <w:r w:rsidR="008207F8" w:rsidRPr="00F55BBA">
        <w:rPr>
          <w:rFonts w:ascii="Arial" w:hAnsi="Arial" w:cs="Arial"/>
          <w:color w:val="000000"/>
          <w:sz w:val="20"/>
          <w:szCs w:val="20"/>
        </w:rPr>
        <w:t>*</w:t>
      </w:r>
      <w:r w:rsidR="008207F8" w:rsidRPr="00F55BBA">
        <w:rPr>
          <w:rFonts w:ascii="Arial" w:hAnsi="Arial" w:cs="Arial"/>
          <w:i/>
          <w:iCs/>
          <w:color w:val="000000"/>
          <w:sz w:val="20"/>
          <w:szCs w:val="20"/>
        </w:rPr>
        <w:t>P</w:t>
      </w:r>
      <w:r w:rsidR="008207F8" w:rsidRPr="00F55BBA">
        <w:rPr>
          <w:rFonts w:ascii="Arial" w:hAnsi="Arial" w:cs="Arial"/>
          <w:color w:val="000000"/>
          <w:sz w:val="20"/>
          <w:szCs w:val="20"/>
        </w:rPr>
        <w:t>&lt;0.01, *</w:t>
      </w:r>
      <w:r w:rsidR="008207F8" w:rsidRPr="00F55BBA">
        <w:rPr>
          <w:rFonts w:ascii="Arial" w:hAnsi="Arial" w:cs="Arial"/>
          <w:i/>
          <w:iCs/>
          <w:color w:val="000000"/>
          <w:sz w:val="20"/>
          <w:szCs w:val="20"/>
        </w:rPr>
        <w:t>P</w:t>
      </w:r>
      <w:r w:rsidR="008207F8" w:rsidRPr="00F55BBA">
        <w:rPr>
          <w:rFonts w:ascii="Arial" w:hAnsi="Arial" w:cs="Arial"/>
          <w:color w:val="000000"/>
          <w:sz w:val="20"/>
          <w:szCs w:val="20"/>
        </w:rPr>
        <w:t>&lt;0.05.</w:t>
      </w:r>
    </w:p>
    <w:p w14:paraId="61A1C96D" w14:textId="77777777" w:rsidR="00B83364" w:rsidRPr="00F55BBA" w:rsidRDefault="00B83364">
      <w:pPr>
        <w:rPr>
          <w:color w:val="000000"/>
        </w:rPr>
      </w:pPr>
    </w:p>
    <w:sectPr w:rsidR="00B83364" w:rsidRPr="00F55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2100E" w14:textId="77777777" w:rsidR="00BC646F" w:rsidRDefault="00BC646F" w:rsidP="001A3B44">
      <w:r>
        <w:separator/>
      </w:r>
    </w:p>
  </w:endnote>
  <w:endnote w:type="continuationSeparator" w:id="0">
    <w:p w14:paraId="455A3A81" w14:textId="77777777" w:rsidR="00BC646F" w:rsidRDefault="00BC646F" w:rsidP="001A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47698" w14:textId="77777777" w:rsidR="00BC646F" w:rsidRDefault="00BC646F" w:rsidP="001A3B44">
      <w:r>
        <w:separator/>
      </w:r>
    </w:p>
  </w:footnote>
  <w:footnote w:type="continuationSeparator" w:id="0">
    <w:p w14:paraId="2B6D31FF" w14:textId="77777777" w:rsidR="00BC646F" w:rsidRDefault="00BC646F" w:rsidP="001A3B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Q2MDM0Nza0NDU3NDFT0lEKTi0uzszPAykwqQUAIiyPuSwAAAA="/>
  </w:docVars>
  <w:rsids>
    <w:rsidRoot w:val="00B95DDF"/>
    <w:rsid w:val="000111B6"/>
    <w:rsid w:val="001A3B44"/>
    <w:rsid w:val="001B1FD5"/>
    <w:rsid w:val="002430F7"/>
    <w:rsid w:val="002B5A8E"/>
    <w:rsid w:val="003C62EB"/>
    <w:rsid w:val="004B4879"/>
    <w:rsid w:val="00760300"/>
    <w:rsid w:val="008207F8"/>
    <w:rsid w:val="00823E74"/>
    <w:rsid w:val="008360E0"/>
    <w:rsid w:val="00847D1F"/>
    <w:rsid w:val="009E6E71"/>
    <w:rsid w:val="00AD3A02"/>
    <w:rsid w:val="00B83364"/>
    <w:rsid w:val="00B95DDF"/>
    <w:rsid w:val="00BC646F"/>
    <w:rsid w:val="00C328A4"/>
    <w:rsid w:val="00CC09BC"/>
    <w:rsid w:val="00D807BD"/>
    <w:rsid w:val="00DB3340"/>
    <w:rsid w:val="00DE2958"/>
    <w:rsid w:val="00EA0150"/>
    <w:rsid w:val="00F55BBA"/>
    <w:rsid w:val="00F6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131EE2"/>
  <w15:chartTrackingRefBased/>
  <w15:docId w15:val="{36285BE0-1910-4930-81D9-CDEEFF13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B44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A3B4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A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A3B44"/>
    <w:rPr>
      <w:sz w:val="18"/>
      <w:szCs w:val="18"/>
    </w:rPr>
  </w:style>
  <w:style w:type="character" w:customStyle="1" w:styleId="tgt">
    <w:name w:val="tgt"/>
    <w:basedOn w:val="DefaultParagraphFont"/>
    <w:rsid w:val="001A3B44"/>
  </w:style>
  <w:style w:type="character" w:styleId="CommentReference">
    <w:name w:val="annotation reference"/>
    <w:basedOn w:val="DefaultParagraphFont"/>
    <w:uiPriority w:val="99"/>
    <w:semiHidden/>
    <w:unhideWhenUsed/>
    <w:rsid w:val="008360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60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60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6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60E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55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大卫</dc:creator>
  <cp:keywords/>
  <dc:description/>
  <cp:lastModifiedBy>Thadani, Lavina</cp:lastModifiedBy>
  <cp:revision>2</cp:revision>
  <dcterms:created xsi:type="dcterms:W3CDTF">2022-03-27T20:16:00Z</dcterms:created>
  <dcterms:modified xsi:type="dcterms:W3CDTF">2022-03-27T20:16:00Z</dcterms:modified>
</cp:coreProperties>
</file>